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738DA2F" w:rsidP="4C7405DE" w:rsidRDefault="1738DA2F" w14:paraId="626035FB" w14:textId="1C85C8F8">
      <w:pPr>
        <w:pStyle w:val="Normal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</w:pPr>
      <w:r w:rsidRPr="4C7405DE" w:rsidR="1738DA2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¿Cómo entender la</w:t>
      </w:r>
      <w:r w:rsidRPr="4C7405DE" w:rsidR="221AE1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</w:t>
      </w:r>
      <w:r w:rsidRPr="4C7405DE" w:rsidR="2B94F823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s</w:t>
      </w:r>
      <w:r w:rsidRPr="4C7405DE" w:rsidR="221AE162">
        <w:rPr>
          <w:rFonts w:ascii="Arial" w:hAnsi="Arial" w:eastAsia="Arial" w:cs="Arial"/>
          <w:b w:val="1"/>
          <w:bCs w:val="1"/>
          <w:i w:val="1"/>
          <w:iCs w:val="1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hrinkflation</w:t>
      </w:r>
      <w:r w:rsidRPr="4C7405DE" w:rsidR="221AE16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 </w:t>
      </w:r>
      <w:r w:rsidRPr="4C7405DE" w:rsidR="2D77985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 xml:space="preserve">y </w:t>
      </w:r>
      <w:r w:rsidRPr="4C7405DE" w:rsidR="141D9F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2"/>
          <w:szCs w:val="32"/>
          <w:lang w:val="es-ES"/>
        </w:rPr>
        <w:t>qué estrategias de marketing pueden ser efectivas?</w:t>
      </w:r>
    </w:p>
    <w:p xmlns:wp14="http://schemas.microsoft.com/office/word/2010/wordml" w:rsidP="4C7405DE" wp14:paraId="1F409FF5" wp14:textId="76B61389">
      <w:pPr>
        <w:jc w:val="both"/>
        <w:rPr>
          <w:rFonts w:ascii="Arial" w:hAnsi="Arial" w:eastAsia="Arial" w:cs="Arial"/>
        </w:rPr>
      </w:pPr>
      <w:r w:rsidRPr="1F2F80B4" w:rsidR="70CC1329">
        <w:rPr>
          <w:rFonts w:ascii="Arial" w:hAnsi="Arial" w:eastAsia="Arial" w:cs="Arial"/>
          <w:b w:val="1"/>
          <w:bCs w:val="1"/>
        </w:rPr>
        <w:t>Ciudad de México</w:t>
      </w:r>
      <w:r w:rsidRPr="1F2F80B4" w:rsidR="2EE0A92A">
        <w:rPr>
          <w:rFonts w:ascii="Arial" w:hAnsi="Arial" w:eastAsia="Arial" w:cs="Arial"/>
          <w:b w:val="1"/>
          <w:bCs w:val="1"/>
        </w:rPr>
        <w:t xml:space="preserve">, </w:t>
      </w:r>
      <w:r w:rsidRPr="1F2F80B4" w:rsidR="5B9050CA">
        <w:rPr>
          <w:rFonts w:ascii="Arial" w:hAnsi="Arial" w:eastAsia="Arial" w:cs="Arial"/>
          <w:b w:val="1"/>
          <w:bCs w:val="1"/>
        </w:rPr>
        <w:t>1</w:t>
      </w:r>
      <w:r w:rsidRPr="1F2F80B4" w:rsidR="2EE0A92A">
        <w:rPr>
          <w:rFonts w:ascii="Arial" w:hAnsi="Arial" w:eastAsia="Arial" w:cs="Arial"/>
          <w:b w:val="1"/>
          <w:bCs w:val="1"/>
        </w:rPr>
        <w:t xml:space="preserve"> de marzo de 2025. –</w:t>
      </w:r>
      <w:r w:rsidRPr="1F2F80B4" w:rsidR="2EE0A92A">
        <w:rPr>
          <w:rFonts w:ascii="Arial" w:hAnsi="Arial" w:eastAsia="Arial" w:cs="Arial"/>
        </w:rPr>
        <w:t xml:space="preserve"> </w:t>
      </w:r>
      <w:r w:rsidRPr="1F2F80B4" w:rsidR="4E2CD160">
        <w:rPr>
          <w:rFonts w:ascii="Arial" w:hAnsi="Arial" w:eastAsia="Arial" w:cs="Arial"/>
        </w:rPr>
        <w:t xml:space="preserve">La </w:t>
      </w:r>
      <w:r w:rsidRPr="1F2F80B4" w:rsidR="4E2CD160">
        <w:rPr>
          <w:rFonts w:ascii="Arial" w:hAnsi="Arial" w:eastAsia="Arial" w:cs="Arial"/>
        </w:rPr>
        <w:t>reduflación</w:t>
      </w:r>
      <w:r w:rsidRPr="1F2F80B4" w:rsidR="4E2CD160">
        <w:rPr>
          <w:rFonts w:ascii="Arial" w:hAnsi="Arial" w:eastAsia="Arial" w:cs="Arial"/>
        </w:rPr>
        <w:t xml:space="preserve">, o también conocida como </w:t>
      </w:r>
      <w:r w:rsidRPr="1F2F80B4" w:rsidR="4E2CD160">
        <w:rPr>
          <w:rFonts w:ascii="Arial" w:hAnsi="Arial" w:eastAsia="Arial" w:cs="Arial"/>
          <w:i w:val="1"/>
          <w:iCs w:val="1"/>
        </w:rPr>
        <w:t>shrinkflation</w:t>
      </w:r>
      <w:r w:rsidRPr="1F2F80B4" w:rsidR="34DF1D67">
        <w:rPr>
          <w:rFonts w:ascii="Arial" w:hAnsi="Arial" w:eastAsia="Arial" w:cs="Arial"/>
        </w:rPr>
        <w:t xml:space="preserve"> en inglés, </w:t>
      </w:r>
      <w:r w:rsidRPr="1F2F80B4" w:rsidR="377EF0C0">
        <w:rPr>
          <w:rFonts w:ascii="Arial" w:hAnsi="Arial" w:eastAsia="Arial" w:cs="Arial"/>
        </w:rPr>
        <w:t>es</w:t>
      </w:r>
      <w:r w:rsidRPr="1F2F80B4" w:rsidR="34DF1D67">
        <w:rPr>
          <w:rFonts w:ascii="Arial" w:hAnsi="Arial" w:eastAsia="Arial" w:cs="Arial"/>
        </w:rPr>
        <w:t xml:space="preserve"> un término </w:t>
      </w:r>
      <w:r w:rsidRPr="1F2F80B4" w:rsidR="3FBBDD48">
        <w:rPr>
          <w:rFonts w:ascii="Arial" w:hAnsi="Arial" w:eastAsia="Arial" w:cs="Arial"/>
        </w:rPr>
        <w:t>que a grandes rasgos significa que los productos reducen su tamaño, peso o cantidad mientras mantienen el mismo precio frente a la alta inflación</w:t>
      </w:r>
      <w:r w:rsidRPr="1F2F80B4" w:rsidR="355F9837">
        <w:rPr>
          <w:rFonts w:ascii="Arial" w:hAnsi="Arial" w:eastAsia="Arial" w:cs="Arial"/>
        </w:rPr>
        <w:t xml:space="preserve">. </w:t>
      </w:r>
    </w:p>
    <w:p xmlns:wp14="http://schemas.microsoft.com/office/word/2010/wordml" w:rsidP="4C7405DE" wp14:paraId="52A2849D" wp14:textId="3589B02D">
      <w:pPr>
        <w:jc w:val="both"/>
        <w:rPr>
          <w:rFonts w:ascii="Arial" w:hAnsi="Arial" w:eastAsia="Arial" w:cs="Arial"/>
        </w:rPr>
      </w:pPr>
      <w:r w:rsidRPr="4C7405DE" w:rsidR="355F9837">
        <w:rPr>
          <w:rFonts w:ascii="Arial" w:hAnsi="Arial" w:eastAsia="Arial" w:cs="Arial"/>
        </w:rPr>
        <w:t xml:space="preserve">Este tipo de práctica suele registrarse en los productos </w:t>
      </w:r>
      <w:r w:rsidRPr="4C7405DE" w:rsidR="01B27CD1">
        <w:rPr>
          <w:rFonts w:ascii="Arial" w:hAnsi="Arial" w:eastAsia="Arial" w:cs="Arial"/>
        </w:rPr>
        <w:t>de los supermercados, y se encuentran bajo la lupa de los consumidores, quienes cada vez son más críticos debido a que sus bolsillos son los más afectados por los crecientes costos</w:t>
      </w:r>
      <w:r w:rsidRPr="4C7405DE" w:rsidR="30551A80">
        <w:rPr>
          <w:rFonts w:ascii="Arial" w:hAnsi="Arial" w:eastAsia="Arial" w:cs="Arial"/>
        </w:rPr>
        <w:t>.</w:t>
      </w:r>
    </w:p>
    <w:p xmlns:wp14="http://schemas.microsoft.com/office/word/2010/wordml" w:rsidP="4C7405DE" wp14:paraId="5C1A07E2" wp14:textId="499622A2">
      <w:pPr>
        <w:jc w:val="both"/>
        <w:rPr>
          <w:rFonts w:ascii="Arial" w:hAnsi="Arial" w:eastAsia="Arial" w:cs="Arial"/>
        </w:rPr>
      </w:pPr>
      <w:r w:rsidRPr="1F2F80B4" w:rsidR="30551A80">
        <w:rPr>
          <w:rFonts w:ascii="Arial" w:hAnsi="Arial" w:eastAsia="Arial" w:cs="Arial"/>
        </w:rPr>
        <w:t xml:space="preserve">De acuerdo con </w:t>
      </w:r>
      <w:r w:rsidRPr="1F2F80B4" w:rsidR="042D8B58">
        <w:rPr>
          <w:rFonts w:ascii="Arial" w:hAnsi="Arial" w:eastAsia="Arial" w:cs="Arial"/>
        </w:rPr>
        <w:t>Aldo Hernández Saldaña, Coordinador Editorial</w:t>
      </w:r>
      <w:r w:rsidRPr="1F2F80B4" w:rsidR="30551A80">
        <w:rPr>
          <w:rFonts w:ascii="Arial" w:hAnsi="Arial" w:eastAsia="Arial" w:cs="Arial"/>
        </w:rPr>
        <w:t xml:space="preserve"> </w:t>
      </w:r>
      <w:r w:rsidRPr="1F2F80B4" w:rsidR="7FA0486F">
        <w:rPr>
          <w:rFonts w:ascii="Arial" w:hAnsi="Arial" w:eastAsia="Arial" w:cs="Arial"/>
        </w:rPr>
        <w:t>en</w:t>
      </w:r>
      <w:r w:rsidRPr="1F2F80B4" w:rsidR="30551A80">
        <w:rPr>
          <w:rFonts w:ascii="Arial" w:hAnsi="Arial" w:eastAsia="Arial" w:cs="Arial"/>
        </w:rPr>
        <w:t xml:space="preserve"> </w:t>
      </w:r>
      <w:hyperlink r:id="Rb5b45bbf2dbf4fda">
        <w:r w:rsidRPr="1F2F80B4" w:rsidR="30551A80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</w:rPr>
          <w:t>another</w:t>
        </w:r>
      </w:hyperlink>
      <w:r w:rsidRPr="1F2F80B4" w:rsidR="30551A80">
        <w:rPr>
          <w:rFonts w:ascii="Arial" w:hAnsi="Arial" w:eastAsia="Arial" w:cs="Arial"/>
          <w:b w:val="1"/>
          <w:bCs w:val="1"/>
          <w:i w:val="1"/>
          <w:iCs w:val="1"/>
        </w:rPr>
        <w:t>,</w:t>
      </w:r>
      <w:r w:rsidRPr="1F2F80B4" w:rsidR="30551A80">
        <w:rPr>
          <w:rFonts w:ascii="Arial" w:hAnsi="Arial" w:eastAsia="Arial" w:cs="Arial"/>
        </w:rPr>
        <w:t xml:space="preserve"> agencia de comunicación estratégica con la mayor oferta de servicios en América Latina, las marcas pueden enfrentar una crisis de reputación en caso de abusar de estas estrategias para enfrentar </w:t>
      </w:r>
      <w:r w:rsidRPr="1F2F80B4" w:rsidR="2FBEF241">
        <w:rPr>
          <w:rFonts w:ascii="Arial" w:hAnsi="Arial" w:eastAsia="Arial" w:cs="Arial"/>
        </w:rPr>
        <w:t xml:space="preserve">el aumento de costos de materias primas, energía o transporte. </w:t>
      </w:r>
      <w:r w:rsidRPr="1F2F80B4" w:rsidR="3FBBDD48">
        <w:rPr>
          <w:rFonts w:ascii="Arial" w:hAnsi="Arial" w:eastAsia="Arial" w:cs="Arial"/>
        </w:rPr>
        <w:t xml:space="preserve"> </w:t>
      </w:r>
    </w:p>
    <w:p w:rsidR="694A2BA4" w:rsidP="4C7405DE" w:rsidRDefault="694A2BA4" w14:paraId="6CAF3389" w14:textId="55AACF93">
      <w:pPr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2A6E868" w:rsidR="694A2BA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 nivel global, se </w:t>
      </w:r>
      <w:hyperlink r:id="R34ba63b729f54f78">
        <w:r w:rsidRPr="52A6E868" w:rsidR="694A2BA4">
          <w:rPr>
            <w:rStyle w:val="Hyperlink"/>
            <w:rFonts w:ascii="Arial" w:hAnsi="Arial" w:eastAsia="Arial" w:cs="Arial"/>
            <w:noProof w:val="0"/>
            <w:sz w:val="24"/>
            <w:szCs w:val="24"/>
            <w:lang w:val="es-ES"/>
          </w:rPr>
          <w:t>han reportado casos</w:t>
        </w:r>
      </w:hyperlink>
      <w:r w:rsidRPr="52A6E868" w:rsidR="694A2BA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bookmarkStart w:name="_Int_rUgzfM9Q" w:id="1336316195"/>
      <w:r w:rsidRPr="52A6E868" w:rsidR="694A2BA4">
        <w:rPr>
          <w:rFonts w:ascii="Arial" w:hAnsi="Arial" w:eastAsia="Arial" w:cs="Arial"/>
          <w:noProof w:val="0"/>
          <w:sz w:val="24"/>
          <w:szCs w:val="24"/>
          <w:lang w:val="es-ES"/>
        </w:rPr>
        <w:t>donde</w:t>
      </w:r>
      <w:bookmarkEnd w:id="1336316195"/>
      <w:r w:rsidRPr="52A6E868" w:rsidR="694A2BA4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algunas marcas redujeron el tamaño de sus productos hasta en un 30% durante 2024 sin modificar los precios, con una reducción promedio del 16.2% entre las principales marcas de comestibles en Estados Unidos.</w:t>
      </w:r>
    </w:p>
    <w:p w:rsidR="7763CA19" w:rsidP="4C7405DE" w:rsidRDefault="7763CA19" w14:paraId="01E63788" w14:textId="74C9FBCA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7763CA19">
        <w:rPr>
          <w:rFonts w:ascii="Arial" w:hAnsi="Arial" w:eastAsia="Arial" w:cs="Arial"/>
        </w:rPr>
        <w:t xml:space="preserve">Según </w:t>
      </w:r>
      <w:hyperlink r:id="Re949322f45754545">
        <w:r w:rsidRPr="4C7405DE" w:rsidR="7763CA19">
          <w:rPr>
            <w:rStyle w:val="Hyperlink"/>
            <w:rFonts w:ascii="Arial" w:hAnsi="Arial" w:eastAsia="Arial" w:cs="Arial"/>
          </w:rPr>
          <w:t>Kantar</w:t>
        </w:r>
      </w:hyperlink>
      <w:r w:rsidRPr="4C7405DE" w:rsidR="7763CA19">
        <w:rPr>
          <w:rFonts w:ascii="Arial" w:hAnsi="Arial" w:eastAsia="Arial" w:cs="Arial"/>
        </w:rPr>
        <w:t>,</w:t>
      </w:r>
      <w:r w:rsidRPr="4C7405DE" w:rsidR="6712FD9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destacó que los consumidores latinoamericanos están adoptando diversas estrategias para equilibrar sus gastos domésticos en respuesta a esta tendencia. </w:t>
      </w:r>
    </w:p>
    <w:p w:rsidR="2FCE9E9D" w:rsidP="4C7405DE" w:rsidRDefault="2FCE9E9D" w14:paraId="6463F6AD" w14:textId="2A9FBFB2">
      <w:pPr>
        <w:pStyle w:val="Normal"/>
        <w:rPr>
          <w:rFonts w:ascii="Arial" w:hAnsi="Arial" w:eastAsia="Arial" w:cs="Arial"/>
          <w:noProof w:val="0"/>
          <w:lang w:val="es-ES"/>
        </w:rPr>
      </w:pPr>
      <w:r w:rsidRPr="4C7405DE" w:rsidR="2FCE9E9D">
        <w:rPr>
          <w:rFonts w:ascii="Arial" w:hAnsi="Arial" w:eastAsia="Arial" w:cs="Arial"/>
          <w:noProof w:val="0"/>
          <w:lang w:val="es-ES"/>
        </w:rPr>
        <w:t>Aldo Hernández Saldaña comparte algunas claves que pueden ayudar a las marcas a enfrentar este reto desde la comunicación estratégica:</w:t>
      </w:r>
    </w:p>
    <w:p w:rsidR="2FCE9E9D" w:rsidP="4C7405DE" w:rsidRDefault="2FCE9E9D" w14:paraId="55880205" w14:textId="18816537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1. Transparencia proactiva</w:t>
      </w:r>
    </w:p>
    <w:p w:rsidR="2FCE9E9D" w:rsidP="4C7405DE" w:rsidRDefault="2FCE9E9D" w14:paraId="039F484B" w14:textId="5682F531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Explicar claramente al consumidor por qué se han realizado cambios en el producto: desde el aumento de costos hasta decisiones orientadas a la sostenibilidad. La honestidad fortalece la relación con el cliente.</w:t>
      </w:r>
    </w:p>
    <w:p w:rsidR="2FCE9E9D" w:rsidP="4C7405DE" w:rsidRDefault="2FCE9E9D" w14:paraId="07F0743A" w14:textId="5AB7A96F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2. Reencuadre del valor</w:t>
      </w:r>
    </w:p>
    <w:p w:rsidR="2FCE9E9D" w:rsidP="4C7405DE" w:rsidRDefault="2FCE9E9D" w14:paraId="09F914DF" w14:textId="6AC0440A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Aprovechar este tipo de ajustes para destacar nuevos atributos del producto: mejor calidad, empaques más ecológicos, beneficios agregados o mejoras en el proceso de producción.</w:t>
      </w:r>
    </w:p>
    <w:p w:rsidR="2FCE9E9D" w:rsidP="4C7405DE" w:rsidRDefault="2FCE9E9D" w14:paraId="3D57D011" w14:textId="189331AF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3. Innovación en formatos y porciones</w:t>
      </w:r>
    </w:p>
    <w:p w:rsidR="2FCE9E9D" w:rsidP="4C7405DE" w:rsidRDefault="2FCE9E9D" w14:paraId="4AF2DA1C" w14:textId="724E7EBF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Ofrecer presentaciones más pequeñas, pero más convenientes o portables, puede percibirse como una solución práctica y no como una pérdida. Esto es especialmente útil en canales de venta modernos o para nuevos estilos de consumo.</w:t>
      </w:r>
    </w:p>
    <w:p w:rsidR="2FCE9E9D" w:rsidP="4C7405DE" w:rsidRDefault="2FCE9E9D" w14:paraId="500A52DE" w14:textId="324E3432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4. Campañas empáticas y educativas</w:t>
      </w:r>
    </w:p>
    <w:p w:rsidR="2FCE9E9D" w:rsidP="4C7405DE" w:rsidRDefault="2FCE9E9D" w14:paraId="74A043EE" w14:textId="7AFD26B2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2A6E868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Conectar con el consumidor desde la empatía, explicando cómo la marca también enfrenta desafíos económicos y cómo busca proteger su calidad y compromiso. Esto puede apoyarse con</w:t>
      </w:r>
      <w:r w:rsidRPr="52A6E868" w:rsidR="2FCE9E9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2A6E868" w:rsidR="2FCE9E9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storytelling</w:t>
      </w:r>
      <w:r w:rsidRPr="52A6E868" w:rsidR="2FCE9E9D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2A6E868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local y causas sociales.</w:t>
      </w:r>
    </w:p>
    <w:p w:rsidR="2FCE9E9D" w:rsidP="4C7405DE" w:rsidRDefault="2FCE9E9D" w14:paraId="7CECB91D" w14:textId="1B95EF84">
      <w:pPr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5. Gestión de crisis en canales digitales</w:t>
      </w:r>
    </w:p>
    <w:p w:rsidR="2FCE9E9D" w:rsidP="4C7405DE" w:rsidRDefault="2FCE9E9D" w14:paraId="2E303E23" w14:textId="268C1793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2FCE9E9D">
        <w:rPr>
          <w:rFonts w:ascii="Arial" w:hAnsi="Arial" w:eastAsia="Arial" w:cs="Arial"/>
          <w:noProof w:val="0"/>
          <w:sz w:val="24"/>
          <w:szCs w:val="24"/>
          <w:lang w:val="es-ES"/>
        </w:rPr>
        <w:t>Contar con protocolos de atención inmediata en redes sociales para abordar las críticas. La escucha activa, el tono adecuado y la respuesta ágil son esenciales para evitar que el tema escale a una crisis de reputación.</w:t>
      </w:r>
    </w:p>
    <w:p w:rsidR="5BE53382" w:rsidP="4C7405DE" w:rsidRDefault="5BE53382" w14:paraId="73205902" w14:textId="2ECA1635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5BE5338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“Es fundamental entender que las marcas no sólo venden productos, sino también valores. Y en tiempos de incertidumbre económica, los consumidores valoran más que nunca la honestidad, la empatía y la coherencia”</w:t>
      </w:r>
      <w:r w:rsidRPr="4C7405DE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>, concluye Hernández Saldaña.</w:t>
      </w:r>
    </w:p>
    <w:p w:rsidR="5BE53382" w:rsidP="4C7405DE" w:rsidRDefault="5BE53382" w14:paraId="3CC56953" w14:textId="0545E918">
      <w:pPr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En una región como América Latina, marcada por la desconfianza institucional, la alta inflación y una fuerte cultura de comunidad, las marcas tienen la oportunidad de construir relaciones de largo plazo, agrega el experto en </w:t>
      </w:r>
      <w:r w:rsidRPr="4C7405DE" w:rsidR="5BE53382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4C7405DE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. La </w:t>
      </w:r>
      <w:r w:rsidRPr="4C7405DE" w:rsidR="5BE53382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shrinkflation</w:t>
      </w:r>
      <w:r w:rsidRPr="4C7405DE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no tiene por qué ser solo una amenaza: bien manejada, puede convertirse en un punto de inflexión para reforzar la identidad, el compromiso y la transparencia de las empresas</w:t>
      </w:r>
      <w:r w:rsidRPr="4C7405DE" w:rsidR="31F643B4">
        <w:rPr>
          <w:rFonts w:ascii="Arial" w:hAnsi="Arial" w:eastAsia="Arial" w:cs="Arial"/>
          <w:noProof w:val="0"/>
          <w:sz w:val="24"/>
          <w:szCs w:val="24"/>
          <w:lang w:val="es-ES"/>
        </w:rPr>
        <w:t>.</w:t>
      </w:r>
    </w:p>
    <w:p w:rsidR="5BE53382" w:rsidP="4C7405DE" w:rsidRDefault="5BE53382" w14:paraId="730074CB" w14:textId="20259B64">
      <w:pPr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4C7405DE" w:rsidR="5BE53382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4C7405DE" w:rsidP="4C7405DE" w:rsidRDefault="4C7405DE" w14:paraId="0B370619" w14:textId="7BE9FE93">
      <w:pPr>
        <w:pStyle w:val="Normal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4C7405DE" w:rsidP="4C7405DE" w:rsidRDefault="4C7405DE" w14:paraId="3F7D55FC" w14:textId="587283F3">
      <w:pPr>
        <w:pStyle w:val="Normal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1005c35915b24cd6"/>
      <w:footerReference w:type="default" r:id="Rfebefb30657c4c14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7405DE" w:rsidTr="4C7405DE" w14:paraId="571137DE">
      <w:trPr>
        <w:trHeight w:val="300"/>
      </w:trPr>
      <w:tc>
        <w:tcPr>
          <w:tcW w:w="3005" w:type="dxa"/>
          <w:tcMar/>
        </w:tcPr>
        <w:p w:rsidR="4C7405DE" w:rsidP="4C7405DE" w:rsidRDefault="4C7405DE" w14:paraId="63DEFE61" w14:textId="7CE2D89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7405DE" w:rsidP="4C7405DE" w:rsidRDefault="4C7405DE" w14:paraId="1059EBC6" w14:textId="5A613689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7405DE" w:rsidP="4C7405DE" w:rsidRDefault="4C7405DE" w14:paraId="3CC79B76" w14:textId="758F51D7">
          <w:pPr>
            <w:pStyle w:val="Header"/>
            <w:bidi w:val="0"/>
            <w:ind w:right="-115"/>
            <w:jc w:val="right"/>
          </w:pPr>
        </w:p>
      </w:tc>
    </w:tr>
  </w:tbl>
  <w:p w:rsidR="4C7405DE" w:rsidP="4C7405DE" w:rsidRDefault="4C7405DE" w14:paraId="5D3BE79F" w14:textId="30ECA21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C7405DE" w:rsidTr="4C7405DE" w14:paraId="5BFB4F59">
      <w:trPr>
        <w:trHeight w:val="300"/>
      </w:trPr>
      <w:tc>
        <w:tcPr>
          <w:tcW w:w="3005" w:type="dxa"/>
          <w:tcMar/>
        </w:tcPr>
        <w:p w:rsidR="4C7405DE" w:rsidP="4C7405DE" w:rsidRDefault="4C7405DE" w14:paraId="6AF12F6A" w14:textId="0A140D77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4C7405DE" w:rsidP="4C7405DE" w:rsidRDefault="4C7405DE" w14:paraId="03F3D33D" w14:textId="4256B2AD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4C7405DE" w:rsidP="4C7405DE" w:rsidRDefault="4C7405DE" w14:paraId="599A1C33" w14:textId="29BF93F4">
          <w:pPr>
            <w:bidi w:val="0"/>
            <w:ind w:right="-115"/>
            <w:jc w:val="right"/>
          </w:pPr>
          <w:r w:rsidR="4C7405DE">
            <w:drawing>
              <wp:inline wp14:editId="0C77D644" wp14:anchorId="723C7D76">
                <wp:extent cx="1343025" cy="361950"/>
                <wp:effectExtent l="0" t="0" r="0" b="0"/>
                <wp:docPr id="429990194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b7534d7b6b3d48e5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4C7405DE" w:rsidP="4C7405DE" w:rsidRDefault="4C7405DE" w14:paraId="3C0B4CE1" w14:textId="3C2E2F4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rUgzfM9Q" int2:invalidationBookmarkName="" int2:hashCode="m/uckSWhJ8E25S" int2:id="1GddhW84">
      <int2:state int2:type="AugLoop_Text_Critique" int2:value="Rejected"/>
    </int2:bookmark>
  </int2:observations>
  <int2:intelligenceSettings/>
</int2:intelligence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D65691E"/>
    <w:rsid w:val="00CB968B"/>
    <w:rsid w:val="01B27CD1"/>
    <w:rsid w:val="02B060B5"/>
    <w:rsid w:val="039A2D29"/>
    <w:rsid w:val="042D8B58"/>
    <w:rsid w:val="0580F051"/>
    <w:rsid w:val="091AC293"/>
    <w:rsid w:val="0BB6DAA5"/>
    <w:rsid w:val="1174CB88"/>
    <w:rsid w:val="141D9FEF"/>
    <w:rsid w:val="14D412B9"/>
    <w:rsid w:val="1738DA2F"/>
    <w:rsid w:val="185865E1"/>
    <w:rsid w:val="18D5A707"/>
    <w:rsid w:val="1B21B342"/>
    <w:rsid w:val="1EEAA299"/>
    <w:rsid w:val="1F2F80B4"/>
    <w:rsid w:val="221AE162"/>
    <w:rsid w:val="224B5415"/>
    <w:rsid w:val="2298FC3D"/>
    <w:rsid w:val="23848474"/>
    <w:rsid w:val="271E517A"/>
    <w:rsid w:val="2B94F823"/>
    <w:rsid w:val="2BB4F0BA"/>
    <w:rsid w:val="2D77985E"/>
    <w:rsid w:val="2EE0A92A"/>
    <w:rsid w:val="2FBEF241"/>
    <w:rsid w:val="2FCE9E9D"/>
    <w:rsid w:val="2FFC2664"/>
    <w:rsid w:val="30551A80"/>
    <w:rsid w:val="31F643B4"/>
    <w:rsid w:val="34DF1D67"/>
    <w:rsid w:val="34EE3DF7"/>
    <w:rsid w:val="355F9837"/>
    <w:rsid w:val="377EF0C0"/>
    <w:rsid w:val="38367B71"/>
    <w:rsid w:val="3D3B6CB7"/>
    <w:rsid w:val="3FBBDD48"/>
    <w:rsid w:val="40E87556"/>
    <w:rsid w:val="42816E26"/>
    <w:rsid w:val="442C370B"/>
    <w:rsid w:val="4C7405DE"/>
    <w:rsid w:val="4E2CD160"/>
    <w:rsid w:val="4EB90986"/>
    <w:rsid w:val="507B84A1"/>
    <w:rsid w:val="52A6E868"/>
    <w:rsid w:val="557CFE5C"/>
    <w:rsid w:val="55A1F084"/>
    <w:rsid w:val="5B9050CA"/>
    <w:rsid w:val="5BE53382"/>
    <w:rsid w:val="5DC87608"/>
    <w:rsid w:val="6712FD99"/>
    <w:rsid w:val="691CD970"/>
    <w:rsid w:val="694A2BA4"/>
    <w:rsid w:val="6B7377F6"/>
    <w:rsid w:val="6D65691E"/>
    <w:rsid w:val="6E7A729E"/>
    <w:rsid w:val="6E7E126B"/>
    <w:rsid w:val="704B64B2"/>
    <w:rsid w:val="70CC1329"/>
    <w:rsid w:val="72D3EAFD"/>
    <w:rsid w:val="753A2ACD"/>
    <w:rsid w:val="77310377"/>
    <w:rsid w:val="7763CA19"/>
    <w:rsid w:val="79E9574B"/>
    <w:rsid w:val="7B975358"/>
    <w:rsid w:val="7CBC4953"/>
    <w:rsid w:val="7FA0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5691E"/>
  <w15:chartTrackingRefBased/>
  <w15:docId w15:val="{59B0BFA3-39A7-405E-9F36-2CCE5BC3A0A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uiPriority w:val="99"/>
    <w:name w:val="Hyperlink"/>
    <w:basedOn w:val="DefaultParagraphFont"/>
    <w:unhideWhenUsed/>
    <w:rsid w:val="4C7405DE"/>
    <w:rPr>
      <w:color w:val="467886"/>
      <w:u w:val="single"/>
    </w:rPr>
  </w:style>
  <w:style w:type="paragraph" w:styleId="Header">
    <w:uiPriority w:val="99"/>
    <w:name w:val="header"/>
    <w:basedOn w:val="Normal"/>
    <w:unhideWhenUsed/>
    <w:rsid w:val="4C7405DE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4C7405DE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www.kantar.com/inspiration/fmcg/uncovering-the-impact-of-shrinkflation-in-latin-america?utm_source=chatgpt.com" TargetMode="External" Id="Re949322f45754545" /><Relationship Type="http://schemas.openxmlformats.org/officeDocument/2006/relationships/header" Target="header.xml" Id="R1005c35915b24cd6" /><Relationship Type="http://schemas.openxmlformats.org/officeDocument/2006/relationships/footer" Target="footer.xml" Id="Rfebefb30657c4c14" /><Relationship Type="http://schemas.microsoft.com/office/2011/relationships/people" Target="people.xml" Id="R4d139baa36c44394" /><Relationship Type="http://schemas.microsoft.com/office/2011/relationships/commentsExtended" Target="commentsExtended.xml" Id="Rbd4dab2130994a32" /><Relationship Type="http://schemas.microsoft.com/office/2016/09/relationships/commentsIds" Target="commentsIds.xml" Id="R75f93cae929d42d1" /><Relationship Type="http://schemas.openxmlformats.org/officeDocument/2006/relationships/hyperlink" Target="https://capitaloneshopping.com/research/shrinkflation-statistics?utm_source=chatgpt.com" TargetMode="External" Id="R34ba63b729f54f78" /><Relationship Type="http://schemas.microsoft.com/office/2020/10/relationships/intelligence" Target="intelligence2.xml" Id="R079d5088c5334255" /><Relationship Type="http://schemas.openxmlformats.org/officeDocument/2006/relationships/hyperlink" Target="https://another.co/?utm_source=shrinkflation&amp;utm_medium=M%C3%A9xico+shrinkflation&amp;utm_campaign=M%C3%A9xico+shrinkflation&amp;utm_id=shrinkflation" TargetMode="External" Id="Rb5b45bbf2dbf4fd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b7534d7b6b3d48e5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BD71739D-126D-44FD-A516-FC74ECABC28B}"/>
</file>

<file path=customXml/itemProps2.xml><?xml version="1.0" encoding="utf-8"?>
<ds:datastoreItem xmlns:ds="http://schemas.openxmlformats.org/officeDocument/2006/customXml" ds:itemID="{36BDAC85-91F3-44F2-A5EC-706D5E1F58D8}"/>
</file>

<file path=customXml/itemProps3.xml><?xml version="1.0" encoding="utf-8"?>
<ds:datastoreItem xmlns:ds="http://schemas.openxmlformats.org/officeDocument/2006/customXml" ds:itemID="{54049CC1-CC90-4844-98EE-2EAB7978D5B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2025-03-26T22:08:35.0000000Z</dcterms:created>
  <dcterms:modified xsi:type="dcterms:W3CDTF">2025-04-01T19:21:23.5782430Z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